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A61" w:rsidRPr="0029781C" w:rsidRDefault="00922A61" w:rsidP="00BA0D5C">
      <w:pPr>
        <w:pStyle w:val="a4"/>
        <w:overflowPunct w:val="0"/>
        <w:spacing w:before="0"/>
        <w:ind w:left="2380" w:hangingChars="290" w:hanging="2380"/>
        <w:jc w:val="center"/>
        <w:rPr>
          <w:b/>
          <w:bCs/>
          <w:snapToGrid/>
          <w:kern w:val="0"/>
          <w:sz w:val="40"/>
        </w:rPr>
      </w:pPr>
      <w:r w:rsidRPr="0029781C">
        <w:rPr>
          <w:rFonts w:hint="eastAsia"/>
          <w:b/>
          <w:bCs/>
          <w:snapToGrid/>
          <w:spacing w:val="200"/>
          <w:kern w:val="0"/>
          <w:sz w:val="40"/>
        </w:rPr>
        <w:t>糾正案文</w:t>
      </w:r>
    </w:p>
    <w:p w:rsidR="00922A61" w:rsidRPr="0029781C" w:rsidRDefault="00922A61" w:rsidP="00FC58B2">
      <w:pPr>
        <w:pStyle w:val="1"/>
        <w:kinsoku/>
        <w:overflowPunct w:val="0"/>
        <w:spacing w:beforeLines="25"/>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29781C">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39025A" w:rsidRPr="0029781C">
        <w:rPr>
          <w:rFonts w:hint="eastAsia"/>
        </w:rPr>
        <w:t>行政院及國防部</w:t>
      </w:r>
      <w:r w:rsidRPr="0029781C">
        <w:rPr>
          <w:rFonts w:hint="eastAsia"/>
        </w:rPr>
        <w:t>。</w:t>
      </w:r>
    </w:p>
    <w:p w:rsidR="00922A61" w:rsidRPr="0029781C" w:rsidRDefault="00922A61" w:rsidP="00BA0D5C">
      <w:pPr>
        <w:pStyle w:val="1"/>
        <w:kinsoku/>
        <w:overflowPunct w:val="0"/>
        <w:autoSpaceDN w:val="0"/>
        <w:ind w:left="2721" w:hanging="2721"/>
      </w:pPr>
      <w:bookmarkStart w:id="14" w:name="_Toc529218255"/>
      <w:bookmarkStart w:id="15" w:name="_Toc529222678"/>
      <w:bookmarkStart w:id="16" w:name="_Toc529223100"/>
      <w:bookmarkStart w:id="17" w:name="_Toc529223851"/>
      <w:bookmarkStart w:id="18" w:name="_Toc529228247"/>
      <w:r w:rsidRPr="0029781C">
        <w:rPr>
          <w:rFonts w:hint="eastAsia"/>
        </w:rPr>
        <w:t>案　　　由：</w:t>
      </w:r>
      <w:bookmarkEnd w:id="14"/>
      <w:bookmarkEnd w:id="15"/>
      <w:bookmarkEnd w:id="16"/>
      <w:bookmarkEnd w:id="17"/>
      <w:bookmarkEnd w:id="18"/>
      <w:r w:rsidR="00C85C1E" w:rsidRPr="00C85C1E">
        <w:rPr>
          <w:rFonts w:hint="eastAsia"/>
        </w:rPr>
        <w:t>行政院及國防部多年來未正視軍職人員退撫基金收支結構失衡財務困境、即將面臨破產之嚴重危機，消極面對改革之迫切性，未積極推動健全基金財務之相關修法，以適時調高提撥費率，甚至被質疑存在「表面推動，卻技術性拖延立法時程」之情形，連帶延宕基金各類人員提高提撥費率挹注基金之時程，致基金的缺口和財務困境無法及時獲得改善，核有怠失</w:t>
      </w:r>
      <w:r w:rsidR="001E79B5">
        <w:rPr>
          <w:rFonts w:hint="eastAsia"/>
        </w:rPr>
        <w:t>，</w:t>
      </w:r>
      <w:r w:rsidR="001E79B5" w:rsidRPr="001E79B5">
        <w:rPr>
          <w:rFonts w:hint="eastAsia"/>
        </w:rPr>
        <w:t>爰依法提案糾正。</w:t>
      </w:r>
    </w:p>
    <w:p w:rsidR="00922A61" w:rsidRPr="0029781C" w:rsidRDefault="00922A61" w:rsidP="00BA0D5C">
      <w:pPr>
        <w:pStyle w:val="1"/>
        <w:kinsoku/>
        <w:overflowPunct w:val="0"/>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29781C">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157A69" w:rsidRPr="0029781C" w:rsidRDefault="00F44DED" w:rsidP="00BA0D5C">
      <w:pPr>
        <w:pStyle w:val="12"/>
        <w:kinsoku/>
        <w:overflowPunct w:val="0"/>
        <w:ind w:left="680" w:firstLine="680"/>
        <w:rPr>
          <w:rFonts w:hAnsi="標楷體"/>
        </w:rPr>
      </w:pPr>
      <w:r w:rsidRPr="0029781C">
        <w:rPr>
          <w:rFonts w:hAnsi="新細明體" w:cs="Calibri" w:hint="eastAsia"/>
          <w:szCs w:val="28"/>
        </w:rPr>
        <w:t>據</w:t>
      </w:r>
      <w:r w:rsidRPr="0029781C">
        <w:rPr>
          <w:rFonts w:hAnsi="新細明體" w:cs="Calibri"/>
          <w:szCs w:val="28"/>
        </w:rPr>
        <w:t>公務人員退休撫卹基金（</w:t>
      </w:r>
      <w:r w:rsidRPr="0029781C">
        <w:rPr>
          <w:rFonts w:hAnsi="新細明體" w:cs="Calibri" w:hint="eastAsia"/>
          <w:szCs w:val="28"/>
        </w:rPr>
        <w:t>下稱退撫基金</w:t>
      </w:r>
      <w:r w:rsidRPr="0029781C">
        <w:rPr>
          <w:rFonts w:hAnsi="新細明體" w:cs="Calibri"/>
          <w:szCs w:val="28"/>
        </w:rPr>
        <w:t>）</w:t>
      </w:r>
      <w:r w:rsidRPr="0029781C">
        <w:rPr>
          <w:rFonts w:hAnsi="標楷體" w:hint="eastAsia"/>
          <w:bCs/>
        </w:rPr>
        <w:t>民國（下同）</w:t>
      </w:r>
      <w:r w:rsidRPr="0029781C">
        <w:rPr>
          <w:rFonts w:cs="Calibri"/>
          <w:szCs w:val="28"/>
        </w:rPr>
        <w:t>100</w:t>
      </w:r>
      <w:r w:rsidRPr="0029781C">
        <w:rPr>
          <w:rFonts w:hAnsi="新細明體" w:cs="Calibri"/>
          <w:szCs w:val="28"/>
        </w:rPr>
        <w:t>年度決算</w:t>
      </w:r>
      <w:r w:rsidRPr="0029781C">
        <w:rPr>
          <w:rFonts w:hAnsi="新細明體" w:cs="Calibri" w:hint="eastAsia"/>
          <w:szCs w:val="28"/>
        </w:rPr>
        <w:t>資料，軍職人員於該年度收入新台幣（下同）92.01億元，支出98.71億元，</w:t>
      </w:r>
      <w:r w:rsidRPr="0029781C">
        <w:rPr>
          <w:rFonts w:hint="eastAsia"/>
        </w:rPr>
        <w:t>支出之退休金若除以提繳之退休金已達107％，相當於收入100元卻支出107元，</w:t>
      </w:r>
      <w:r w:rsidRPr="0029781C">
        <w:rPr>
          <w:rFonts w:hAnsi="新細明體" w:cs="Calibri" w:hint="eastAsia"/>
          <w:szCs w:val="28"/>
        </w:rPr>
        <w:t>首次發生支出大於收入之</w:t>
      </w:r>
      <w:r w:rsidRPr="0029781C">
        <w:rPr>
          <w:rFonts w:hint="eastAsia"/>
        </w:rPr>
        <w:t>失衡</w:t>
      </w:r>
      <w:r w:rsidRPr="0029781C">
        <w:rPr>
          <w:rFonts w:hAnsi="新細明體" w:cs="Calibri" w:hint="eastAsia"/>
          <w:szCs w:val="28"/>
        </w:rPr>
        <w:t>情形，</w:t>
      </w:r>
      <w:r w:rsidR="00C55D07">
        <w:rPr>
          <w:rFonts w:hint="eastAsia"/>
        </w:rPr>
        <w:t>且即將面臨破產危機。</w:t>
      </w:r>
      <w:r w:rsidR="003C4587" w:rsidRPr="0029781C">
        <w:rPr>
          <w:rFonts w:hint="eastAsia"/>
          <w:bCs/>
        </w:rPr>
        <w:t>經發函考試院、銓敘部、國防部、行政院主計總處、審計部、</w:t>
      </w:r>
      <w:r w:rsidR="003C4587" w:rsidRPr="0029781C">
        <w:rPr>
          <w:rFonts w:hint="eastAsia"/>
        </w:rPr>
        <w:t>行政院國軍退除役官兵輔導委員會</w:t>
      </w:r>
      <w:r w:rsidR="00255763" w:rsidRPr="0029781C">
        <w:rPr>
          <w:rFonts w:ascii="Times New Roman"/>
        </w:rPr>
        <w:t>調</w:t>
      </w:r>
      <w:r w:rsidR="003C4587" w:rsidRPr="0029781C">
        <w:rPr>
          <w:rFonts w:ascii="Times New Roman"/>
        </w:rPr>
        <w:t>閱相關卷證資料</w:t>
      </w:r>
      <w:r w:rsidR="003C4587" w:rsidRPr="0029781C">
        <w:rPr>
          <w:rFonts w:hint="eastAsia"/>
          <w:bCs/>
        </w:rPr>
        <w:t>，並</w:t>
      </w:r>
      <w:r w:rsidR="003C4587" w:rsidRPr="0029781C">
        <w:rPr>
          <w:rFonts w:hAnsi="標楷體" w:hint="eastAsia"/>
          <w:bCs/>
        </w:rPr>
        <w:t>於101年10月17日約詢</w:t>
      </w:r>
      <w:r w:rsidR="003C4587" w:rsidRPr="0029781C">
        <w:rPr>
          <w:rFonts w:hAnsi="標楷體" w:hint="eastAsia"/>
        </w:rPr>
        <w:t>國防部廖常務次長榮鑫、</w:t>
      </w:r>
      <w:r w:rsidR="003C4587" w:rsidRPr="0029781C">
        <w:rPr>
          <w:rFonts w:ascii="Times New Roman" w:hint="eastAsia"/>
        </w:rPr>
        <w:t>人力司張副司長兀岱、</w:t>
      </w:r>
      <w:r w:rsidR="003C4587" w:rsidRPr="0029781C">
        <w:rPr>
          <w:rFonts w:hAnsi="標楷體" w:hint="eastAsia"/>
          <w:bCs/>
        </w:rPr>
        <w:t>公務人員退休撫卹基金管理委員會（下稱基管會）</w:t>
      </w:r>
      <w:r w:rsidR="003C4587" w:rsidRPr="0029781C">
        <w:rPr>
          <w:rFonts w:hAnsi="標楷體" w:hint="eastAsia"/>
        </w:rPr>
        <w:t>蔡副主任委員豐清、銓敘部退撫司呂司長明泰</w:t>
      </w:r>
      <w:r w:rsidR="003C4587" w:rsidRPr="0029781C">
        <w:rPr>
          <w:rFonts w:hAnsi="標楷體" w:hint="eastAsia"/>
          <w:bCs/>
        </w:rPr>
        <w:t>等業務相關人員，</w:t>
      </w:r>
      <w:r w:rsidR="003C4587" w:rsidRPr="0029781C">
        <w:rPr>
          <w:rFonts w:ascii="Times New Roman"/>
          <w:szCs w:val="32"/>
        </w:rPr>
        <w:t>業調查竣事，</w:t>
      </w:r>
      <w:r w:rsidR="009A0D4C" w:rsidRPr="0029781C">
        <w:rPr>
          <w:rFonts w:ascii="Times New Roman"/>
          <w:bCs/>
        </w:rPr>
        <w:t>茲臚列</w:t>
      </w:r>
      <w:r w:rsidR="009A0D4C" w:rsidRPr="0029781C">
        <w:rPr>
          <w:rFonts w:ascii="Times New Roman" w:hint="eastAsia"/>
          <w:bCs/>
        </w:rPr>
        <w:t>糾正事實與理由</w:t>
      </w:r>
      <w:r w:rsidR="009A0D4C" w:rsidRPr="0029781C">
        <w:rPr>
          <w:rFonts w:ascii="Times New Roman"/>
          <w:bCs/>
        </w:rPr>
        <w:t>如下</w:t>
      </w:r>
      <w:r w:rsidR="009A0D4C" w:rsidRPr="0029781C">
        <w:rPr>
          <w:rFonts w:ascii="Times New Roman" w:hint="eastAsia"/>
          <w:bCs/>
        </w:rPr>
        <w:t>：</w:t>
      </w:r>
    </w:p>
    <w:p w:rsidR="00C82E6C" w:rsidRPr="0029781C" w:rsidRDefault="00A4051D" w:rsidP="00C82E6C">
      <w:pPr>
        <w:pStyle w:val="2"/>
      </w:pPr>
      <w:r w:rsidRPr="00A4051D">
        <w:rPr>
          <w:rFonts w:hint="eastAsia"/>
        </w:rPr>
        <w:t>退撫新制係歷經20餘年之研議與推行始完成立法並於84年7月1日起實施，先適用於公務人員，至於軍職人員與教育人員則分別自86年1月1日及85年</w:t>
      </w:r>
      <w:r w:rsidRPr="00A4051D">
        <w:rPr>
          <w:rFonts w:hint="eastAsia"/>
        </w:rPr>
        <w:lastRenderedPageBreak/>
        <w:t>2月1日起納入，退撫新制係由政府編列預算支付之「恩給制」，改由政府與公務人員按月提撥費用，建立退撫基金支付之「共同提撥制」，基金主管機關為銓敘部，基金管理及運用原則明訂於公務人員退休撫卹基金管理條例（下稱基管條例）。基金撥繳費率之標準係按現職人員本俸加1倍之8％至12％為提撥率，由政府撥付65％，現職人員繳付35％，該標準則訂於軍公教人員各自之退撫法令，軍職人員部分規定於陸海空軍軍官士官服役條例（下稱服役條例）第27條。依基管條例第8條規定：「基金採統一管理，按政府別、身分別，分戶設帳，分別以收支平衡為原則，年度決算如有賸餘，全數撥為基金。如基金不足支付時，應由基金檢討調整繳費費率，或由政府撥款補助，並由政府負最後支付責任。」基金支出則為按相關人員各自適用退撫法規之相關給付，乃為「確定給付制」，與基金實際收入並無關聯性，收支及收入之差額，因為「政府負最後支付責任」之規定，而成為政府之潛藏負債 。在基金成立初期，因為繳款者多、提領者少，收入尚大於支出，故不會形成資金缺口，只會形成潛藏負債。迄101年8月底止，退撫基金總資產約4,939億元，參加退撫基金共約有62.4萬人，其中軍職人員約14.3萬人，占23.05％， 100年度軍職人員收入92.01億元，支出98.71億元，支出占收繳比例為107.28％，首次發生支出大於收入之失衡情形；累計至101年8月各類人員支出占收繳比例平均為44％，其中軍職人員74.66％為最高。據該基金第4次精算結果（精算基準日為97年12月31日），倘依目前之退休制度推估，軍職人員退撫基金累積餘額將於107年出現虧損（即破產）。</w:t>
      </w:r>
    </w:p>
    <w:p w:rsidR="00C82E6C" w:rsidRPr="0029781C" w:rsidRDefault="00C82E6C" w:rsidP="00C82E6C">
      <w:pPr>
        <w:pStyle w:val="2"/>
      </w:pPr>
      <w:r w:rsidRPr="0029781C">
        <w:rPr>
          <w:rFonts w:hint="eastAsia"/>
        </w:rPr>
        <w:t>次查，行政院及國防部十餘年前依歷次精算報告即知</w:t>
      </w:r>
      <w:r w:rsidRPr="0029781C">
        <w:rPr>
          <w:rFonts w:hint="eastAsia"/>
        </w:rPr>
        <w:lastRenderedPageBreak/>
        <w:t>軍職人員退撫基金收支失衡、顯有破產危機，相關修法作業卻未儘速辦理，致令問題日益嚴重，核有怠失：</w:t>
      </w:r>
    </w:p>
    <w:p w:rsidR="00C82E6C" w:rsidRPr="0029781C" w:rsidRDefault="00C82E6C" w:rsidP="00C82E6C">
      <w:pPr>
        <w:pStyle w:val="3"/>
      </w:pPr>
      <w:r w:rsidRPr="0029781C">
        <w:rPr>
          <w:rFonts w:hint="eastAsia"/>
        </w:rPr>
        <w:t xml:space="preserve">退撫基金提撥費率之釐定與調整，依基管條例施行細則第20條規定，係由基管會提出建議，經基金監理會審議後，再由基管會報請軍公教各該主管機關（國防部、銓敘部、教育部）陳報主管院（行政院、考試院）核定施行。近年退休人數逐年攀升，國人生命餘年增長，加上投資環境之快速變化，均加深退撫基金財務負擔，在89年第1次精算時，軍公教人員最適提撥費率即已超過法定上限12％（分別為21.9％、15.5％及17.9％）；至98年第4次精算時，上開人員之最適提撥費率各已分別高達36.7％、40.7％及42.3％。95年間各類人員基金提撥費率均已達法定上限12％，但與最適提撥費率相較仍顯有不足，待修法調整費率上限，嗣銓敘部於99年8月完成公務人員退休法修正，將公務人員法定提撥費率上限由12％調整至15％，惟往例係各類人員同幅度調整費率，受限於軍、教人員退撫法令尚未完成修正，提撥率調高尚無法立即辦理。 </w:t>
      </w:r>
    </w:p>
    <w:p w:rsidR="00C82E6C" w:rsidRPr="0029781C" w:rsidRDefault="00C82E6C" w:rsidP="00C82E6C">
      <w:pPr>
        <w:pStyle w:val="3"/>
      </w:pPr>
      <w:r w:rsidRPr="0029781C">
        <w:rPr>
          <w:rFonts w:hint="eastAsia"/>
        </w:rPr>
        <w:t>為因應軍職人員退撫基金財務困境，銓敘部自94年3月起計19次函請國防部積研商修法調整提撥費率上限，惟目前服役條役並未與公務人員退休法同步完成修法，</w:t>
      </w:r>
      <w:r w:rsidRPr="0029781C">
        <w:rPr>
          <w:rFonts w:hint="eastAsia"/>
          <w:lang w:val="zh-TW"/>
        </w:rPr>
        <w:t>導致公務人員雖已完成法定提撥費率上限之修正，費率之調高作業卻連帶延宕</w:t>
      </w:r>
      <w:r w:rsidRPr="0029781C">
        <w:rPr>
          <w:rFonts w:cs="標楷體" w:hint="eastAsia"/>
          <w:lang w:val="zh-TW"/>
        </w:rPr>
        <w:t>，外界多有行政院及國防部「表面推動，卻技術性拖延立法時程」之質疑，經查：</w:t>
      </w:r>
    </w:p>
    <w:p w:rsidR="00C82E6C" w:rsidRPr="0029781C" w:rsidRDefault="00C82E6C" w:rsidP="0029781C">
      <w:pPr>
        <w:pStyle w:val="4"/>
      </w:pPr>
      <w:r w:rsidRPr="0029781C">
        <w:rPr>
          <w:rFonts w:hint="eastAsia"/>
        </w:rPr>
        <w:t>國防部參照「公務人員退休法」修正草案之標準，將服役條例第27條所定提撥費率上限修訂為18</w:t>
      </w:r>
      <w:r w:rsidRPr="0029781C">
        <w:rPr>
          <w:rFonts w:hint="eastAsia"/>
        </w:rPr>
        <w:lastRenderedPageBreak/>
        <w:t>％，於98年4月10日函送立法院審議，卻於</w:t>
      </w:r>
      <w:r w:rsidRPr="0029781C">
        <w:rPr>
          <w:rFonts w:cs="標楷體" w:hint="eastAsia"/>
          <w:kern w:val="0"/>
          <w:lang w:val="zh-TW"/>
        </w:rPr>
        <w:t>立法院第7屆會期結束前（101年1月底），未</w:t>
      </w:r>
      <w:r w:rsidRPr="0029781C">
        <w:rPr>
          <w:rFonts w:hint="eastAsia"/>
        </w:rPr>
        <w:t>能與公務人員退休法同步完成修法，且</w:t>
      </w:r>
      <w:r w:rsidRPr="0029781C">
        <w:rPr>
          <w:rFonts w:cs="標楷體" w:hint="eastAsia"/>
          <w:kern w:val="0"/>
          <w:lang w:val="zh-TW"/>
        </w:rPr>
        <w:t>因「法案屆期不連續」，相關修法程序必須重新來過，先經國防部陳報行政院，經審查後再陳報立法院。</w:t>
      </w:r>
    </w:p>
    <w:p w:rsidR="00C82E6C" w:rsidRPr="0029781C" w:rsidRDefault="00C82E6C" w:rsidP="0029781C">
      <w:pPr>
        <w:pStyle w:val="4"/>
      </w:pPr>
      <w:r w:rsidRPr="0029781C">
        <w:rPr>
          <w:rFonts w:hAnsi="標楷體" w:hint="eastAsia"/>
          <w:kern w:val="0"/>
        </w:rPr>
        <w:t>衡諸法制作業慣例，凡屬重大優先之法案，如遇屆期不續審之情形，主管機關除應列為下一會期之優先法案外，自應於下屆會期起始即重新陳送立法院審議始為正辦。查</w:t>
      </w:r>
      <w:r w:rsidRPr="0029781C">
        <w:rPr>
          <w:rFonts w:hint="eastAsia"/>
          <w:kern w:val="0"/>
          <w:lang w:val="zh-TW"/>
        </w:rPr>
        <w:t>立法院第8屆第1次會期係於101年6月25日結束，後因美牛案而於同年7月24至26日召開臨時會，</w:t>
      </w:r>
      <w:r w:rsidRPr="0029781C">
        <w:rPr>
          <w:rFonts w:hAnsi="標楷體" w:hint="eastAsia"/>
          <w:kern w:val="0"/>
          <w:lang w:val="zh-TW"/>
        </w:rPr>
        <w:t>該次會議</w:t>
      </w:r>
      <w:r w:rsidRPr="0029781C">
        <w:rPr>
          <w:rFonts w:hAnsi="標楷體" w:hint="eastAsia"/>
          <w:kern w:val="0"/>
        </w:rPr>
        <w:t>完成美牛案、證所稅案等重要法案修法，連同7項民生重要議案，共通過13項法案。</w:t>
      </w:r>
      <w:r w:rsidRPr="0029781C">
        <w:rPr>
          <w:rFonts w:cs="標楷體" w:hint="eastAsia"/>
          <w:kern w:val="0"/>
          <w:lang w:val="zh-TW"/>
        </w:rPr>
        <w:t>國防部雖於</w:t>
      </w:r>
      <w:r w:rsidRPr="0029781C">
        <w:rPr>
          <w:rFonts w:cs="標楷體"/>
          <w:kern w:val="0"/>
          <w:lang w:val="zh-TW"/>
        </w:rPr>
        <w:t>101</w:t>
      </w:r>
      <w:r w:rsidRPr="0029781C">
        <w:rPr>
          <w:rFonts w:cs="標楷體" w:hint="eastAsia"/>
          <w:kern w:val="0"/>
          <w:lang w:val="zh-TW"/>
        </w:rPr>
        <w:t>年</w:t>
      </w:r>
      <w:r w:rsidRPr="0029781C">
        <w:rPr>
          <w:rFonts w:cs="標楷體"/>
          <w:kern w:val="0"/>
          <w:lang w:val="zh-TW"/>
        </w:rPr>
        <w:t>2</w:t>
      </w:r>
      <w:r w:rsidRPr="0029781C">
        <w:rPr>
          <w:rFonts w:cs="標楷體" w:hint="eastAsia"/>
          <w:kern w:val="0"/>
          <w:lang w:val="zh-TW"/>
        </w:rPr>
        <w:t>月</w:t>
      </w:r>
      <w:r w:rsidRPr="0029781C">
        <w:rPr>
          <w:rFonts w:cs="標楷體"/>
          <w:kern w:val="0"/>
          <w:lang w:val="zh-TW"/>
        </w:rPr>
        <w:t>9</w:t>
      </w:r>
      <w:r w:rsidRPr="0029781C">
        <w:rPr>
          <w:rFonts w:cs="標楷體" w:hint="eastAsia"/>
          <w:kern w:val="0"/>
          <w:lang w:val="zh-TW"/>
        </w:rPr>
        <w:t>日將服役條例修正草案重行檢討陳報行政院，惟</w:t>
      </w:r>
      <w:r w:rsidRPr="0029781C">
        <w:rPr>
          <w:rFonts w:hint="eastAsia"/>
          <w:kern w:val="0"/>
          <w:lang w:val="zh-TW"/>
        </w:rPr>
        <w:t>行政院卻遲至101年7月27日（即臨時會結束之次日）始將修正草案函送立法院審議，立法院在該次臨時會雖一口氣</w:t>
      </w:r>
      <w:r w:rsidRPr="0029781C">
        <w:rPr>
          <w:rFonts w:hAnsi="標楷體" w:hint="eastAsia"/>
          <w:kern w:val="0"/>
        </w:rPr>
        <w:t>通過13項法案</w:t>
      </w:r>
      <w:r w:rsidRPr="0029781C">
        <w:rPr>
          <w:rFonts w:hint="eastAsia"/>
          <w:kern w:val="0"/>
          <w:lang w:val="zh-TW"/>
        </w:rPr>
        <w:t>，惟</w:t>
      </w:r>
      <w:r w:rsidRPr="0029781C">
        <w:rPr>
          <w:rFonts w:hAnsi="標楷體" w:hint="eastAsia"/>
          <w:kern w:val="0"/>
        </w:rPr>
        <w:t>行政院既未及時將服役條例修正草案送立法院，自無完成修法之可能。且與教育人員之退休條例修正草案於101年3月27日即函請立法院審議相較，行政院與國防部顯未重視服役條例修法之急迫性。</w:t>
      </w:r>
    </w:p>
    <w:p w:rsidR="00C82E6C" w:rsidRPr="0029781C" w:rsidRDefault="00C82E6C" w:rsidP="0029781C">
      <w:pPr>
        <w:pStyle w:val="4"/>
      </w:pPr>
      <w:r w:rsidRPr="0029781C">
        <w:rPr>
          <w:rFonts w:hint="eastAsia"/>
          <w:kern w:val="0"/>
          <w:lang w:val="zh-TW"/>
        </w:rPr>
        <w:t>綜上，軍職人員之服役條例未能</w:t>
      </w:r>
      <w:r w:rsidRPr="0029781C">
        <w:rPr>
          <w:rFonts w:hint="eastAsia"/>
        </w:rPr>
        <w:t>與公務人員退休法於立法院第7屆會期同步完成修法，國防部推動修法之力度顯不足；又立法院第8屆會期開始時，相關法令修正草案送請該院審議之時點亦較教育部晚，國防部未審視該法案之急迫性，積極推動</w:t>
      </w:r>
      <w:r w:rsidRPr="0029781C">
        <w:rPr>
          <w:rFonts w:hint="eastAsia"/>
          <w:kern w:val="0"/>
          <w:lang w:val="zh-TW"/>
        </w:rPr>
        <w:t>修法，</w:t>
      </w:r>
      <w:r w:rsidRPr="0029781C">
        <w:rPr>
          <w:rFonts w:hint="eastAsia"/>
        </w:rPr>
        <w:t>一再</w:t>
      </w:r>
      <w:r w:rsidRPr="0029781C">
        <w:rPr>
          <w:rFonts w:cs="新細明體" w:hint="eastAsia"/>
          <w:kern w:val="0"/>
        </w:rPr>
        <w:t>錯失</w:t>
      </w:r>
      <w:r w:rsidRPr="0029781C">
        <w:rPr>
          <w:rFonts w:hint="eastAsia"/>
          <w:kern w:val="0"/>
          <w:lang w:val="zh-TW"/>
        </w:rPr>
        <w:t>時機，外界質疑行政院及國防部</w:t>
      </w:r>
      <w:r w:rsidRPr="0029781C">
        <w:rPr>
          <w:rFonts w:cs="標楷體" w:hint="eastAsia"/>
          <w:kern w:val="0"/>
          <w:lang w:val="zh-TW"/>
        </w:rPr>
        <w:t>「表面推動，卻技術性拖延立法時程」，</w:t>
      </w:r>
      <w:r w:rsidRPr="0029781C">
        <w:rPr>
          <w:rFonts w:hint="eastAsia"/>
          <w:kern w:val="0"/>
          <w:lang w:val="zh-TW"/>
        </w:rPr>
        <w:t>導致公務人員雖已完成法訂提撥費率上限之修正，</w:t>
      </w:r>
      <w:r w:rsidRPr="0029781C">
        <w:rPr>
          <w:rFonts w:hint="eastAsia"/>
          <w:kern w:val="0"/>
          <w:lang w:val="zh-TW"/>
        </w:rPr>
        <w:lastRenderedPageBreak/>
        <w:t>費率之調高作業卻連帶延宕，顯有疏失。</w:t>
      </w:r>
    </w:p>
    <w:p w:rsidR="00C82E6C" w:rsidRPr="0029781C" w:rsidRDefault="00C82E6C" w:rsidP="0029781C">
      <w:pPr>
        <w:pStyle w:val="2"/>
      </w:pPr>
      <w:r w:rsidRPr="0029781C">
        <w:rPr>
          <w:rFonts w:hint="eastAsia"/>
        </w:rPr>
        <w:t>關於「軍人退撫之費率應儘快調高」等建議，詢據銓敘部退撫司呂司長：「我們曾多次提供建議各主管機關，但都未獲採納」、「曾提出差別費率（軍人退撫部分採取較高提撥費率），但被行政院否決」等語，顯見行政院及國防部長期輕忽軍人退撫基金精算報告認為嚴重入不敷出，勢必破產之事實，對於退撫基金的提示警語及敦促並未儘速處理，致軍人退撫基金財務面臨快速惡化之困境。</w:t>
      </w:r>
    </w:p>
    <w:p w:rsidR="00157A69" w:rsidRPr="0029781C" w:rsidRDefault="0029781C" w:rsidP="00FC58B2">
      <w:pPr>
        <w:pStyle w:val="12"/>
        <w:kinsoku/>
        <w:overflowPunct w:val="0"/>
        <w:spacing w:beforeLines="50"/>
        <w:ind w:left="680" w:firstLine="680"/>
        <w:rPr>
          <w:rFonts w:hAnsi="標楷體"/>
          <w:bCs/>
        </w:rPr>
      </w:pPr>
      <w:r w:rsidRPr="0029781C">
        <w:rPr>
          <w:rFonts w:hint="eastAsia"/>
        </w:rPr>
        <w:t>綜上，</w:t>
      </w:r>
      <w:r w:rsidR="00D661EA">
        <w:rPr>
          <w:rFonts w:hint="eastAsia"/>
        </w:rPr>
        <w:t>退撫基金歷次精算報告均對</w:t>
      </w:r>
      <w:r w:rsidR="00DA03DA">
        <w:rPr>
          <w:rFonts w:hint="eastAsia"/>
        </w:rPr>
        <w:t>軍職人員退撫基金</w:t>
      </w:r>
      <w:r w:rsidR="00630936">
        <w:rPr>
          <w:rFonts w:hint="eastAsia"/>
        </w:rPr>
        <w:t>提示財務失衡之</w:t>
      </w:r>
      <w:r w:rsidR="00D661EA">
        <w:rPr>
          <w:rFonts w:hint="eastAsia"/>
        </w:rPr>
        <w:t>警</w:t>
      </w:r>
      <w:r w:rsidR="00630936">
        <w:rPr>
          <w:rFonts w:hint="eastAsia"/>
        </w:rPr>
        <w:t>語</w:t>
      </w:r>
      <w:r w:rsidR="00D661EA">
        <w:rPr>
          <w:rFonts w:hint="eastAsia"/>
        </w:rPr>
        <w:t>，</w:t>
      </w:r>
      <w:r w:rsidR="00630936">
        <w:rPr>
          <w:rFonts w:hint="eastAsia"/>
        </w:rPr>
        <w:t>且銓敘部亦多次敦促</w:t>
      </w:r>
      <w:r w:rsidR="00171420">
        <w:rPr>
          <w:rFonts w:hint="eastAsia"/>
        </w:rPr>
        <w:t>研議修法改善</w:t>
      </w:r>
      <w:r w:rsidR="008F6152">
        <w:rPr>
          <w:rFonts w:hint="eastAsia"/>
        </w:rPr>
        <w:t>，</w:t>
      </w:r>
      <w:r w:rsidR="00AC4223">
        <w:rPr>
          <w:rFonts w:hint="eastAsia"/>
        </w:rPr>
        <w:t>惟</w:t>
      </w:r>
      <w:r w:rsidRPr="0029781C">
        <w:rPr>
          <w:rFonts w:hint="eastAsia"/>
        </w:rPr>
        <w:t>行政院及國防部多年來未正視</w:t>
      </w:r>
      <w:r w:rsidRPr="0029781C">
        <w:rPr>
          <w:rFonts w:hAnsi="標楷體" w:hint="eastAsia"/>
          <w:szCs w:val="32"/>
        </w:rPr>
        <w:t>軍職人員退撫基金收支</w:t>
      </w:r>
      <w:r w:rsidRPr="0029781C">
        <w:rPr>
          <w:rFonts w:hAnsi="新細明體" w:cs="Calibri" w:hint="eastAsia"/>
          <w:szCs w:val="28"/>
        </w:rPr>
        <w:t>結構</w:t>
      </w:r>
      <w:r w:rsidRPr="0029781C">
        <w:rPr>
          <w:rFonts w:hint="eastAsia"/>
        </w:rPr>
        <w:t>失衡</w:t>
      </w:r>
      <w:r w:rsidRPr="0029781C">
        <w:rPr>
          <w:rFonts w:hAnsi="標楷體" w:hint="eastAsia"/>
          <w:szCs w:val="32"/>
        </w:rPr>
        <w:t>財務困境、</w:t>
      </w:r>
      <w:r w:rsidRPr="0029781C">
        <w:rPr>
          <w:rFonts w:hAnsi="新細明體" w:cs="Calibri" w:hint="eastAsia"/>
          <w:szCs w:val="28"/>
        </w:rPr>
        <w:t>即將面臨破產之嚴重危機，消極面對改革之迫切性，未積極推動健全基金財務之相關修法以適時調整提撥費率，甚至被質疑存在</w:t>
      </w:r>
      <w:r w:rsidRPr="0029781C">
        <w:rPr>
          <w:rFonts w:cs="標楷體" w:hint="eastAsia"/>
          <w:szCs w:val="32"/>
          <w:lang w:val="zh-TW"/>
        </w:rPr>
        <w:t>「表面推動，卻技術性拖延立法時程」之情形，</w:t>
      </w:r>
      <w:r w:rsidRPr="0029781C">
        <w:rPr>
          <w:rFonts w:hint="eastAsia"/>
        </w:rPr>
        <w:t>延宕提高提撥費率挹注基金之時程，致基金的缺口和財務困境無法及時獲得改善，核有怠失</w:t>
      </w:r>
      <w:r w:rsidR="000B7FDF">
        <w:rPr>
          <w:rFonts w:hint="eastAsia"/>
        </w:rPr>
        <w:t>，</w:t>
      </w:r>
      <w:r w:rsidR="000B7FDF" w:rsidRPr="000B7FDF">
        <w:rPr>
          <w:rFonts w:hint="eastAsia"/>
        </w:rPr>
        <w:t>爰依監察法第24條提案糾正，移送行政院轉飭所屬確實檢討改善見復。</w:t>
      </w:r>
    </w:p>
    <w:p w:rsidR="00A26163" w:rsidRPr="0029781C" w:rsidRDefault="00A26163" w:rsidP="00BA0D5C">
      <w:pPr>
        <w:overflowPunct w:val="0"/>
        <w:ind w:leftChars="200" w:left="680" w:firstLineChars="200" w:firstLine="680"/>
        <w:rPr>
          <w:rFonts w:ascii="標楷體"/>
          <w:bCs/>
          <w:kern w:val="0"/>
        </w:rPr>
      </w:pPr>
    </w:p>
    <w:p w:rsidR="00A26163" w:rsidRPr="0029781C" w:rsidRDefault="00A26163" w:rsidP="00BA0D5C">
      <w:pPr>
        <w:overflowPunct w:val="0"/>
        <w:ind w:leftChars="200" w:left="680" w:firstLineChars="200" w:firstLine="680"/>
        <w:rPr>
          <w:rFonts w:ascii="標楷體"/>
          <w:bCs/>
          <w:kern w:val="0"/>
        </w:rPr>
      </w:pPr>
    </w:p>
    <w:p w:rsidR="00922A61" w:rsidRPr="0029781C" w:rsidRDefault="00922A61" w:rsidP="00FC58B2">
      <w:pPr>
        <w:pStyle w:val="a3"/>
        <w:overflowPunct w:val="0"/>
        <w:spacing w:before="0" w:afterLines="250"/>
        <w:ind w:leftChars="1100" w:left="3742" w:firstLineChars="500" w:firstLine="1901"/>
        <w:jc w:val="both"/>
        <w:rPr>
          <w:b w:val="0"/>
          <w:bCs/>
          <w:snapToGrid/>
          <w:spacing w:val="0"/>
          <w:kern w:val="0"/>
        </w:rPr>
      </w:pPr>
      <w:bookmarkStart w:id="33" w:name="_Toc524895649"/>
      <w:bookmarkStart w:id="34" w:name="_Toc524896195"/>
      <w:bookmarkStart w:id="35" w:name="_Toc524896225"/>
      <w:bookmarkEnd w:id="33"/>
      <w:bookmarkEnd w:id="34"/>
      <w:bookmarkEnd w:id="35"/>
    </w:p>
    <w:sectPr w:rsidR="00922A61" w:rsidRPr="0029781C" w:rsidSect="00434454">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F86" w:rsidRDefault="006C7F86" w:rsidP="00922A61">
      <w:r>
        <w:separator/>
      </w:r>
    </w:p>
  </w:endnote>
  <w:endnote w:type="continuationSeparator" w:id="0">
    <w:p w:rsidR="006C7F86" w:rsidRDefault="006C7F86" w:rsidP="00922A6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A61" w:rsidRDefault="00FC58B2">
    <w:pPr>
      <w:framePr w:wrap="around" w:vAnchor="text" w:hAnchor="margin" w:xAlign="center" w:y="1"/>
      <w:ind w:left="640" w:firstLine="400"/>
      <w:textDirection w:val="btLr"/>
      <w:rPr>
        <w:rStyle w:val="a5"/>
      </w:rPr>
    </w:pPr>
    <w:r>
      <w:rPr>
        <w:rStyle w:val="a5"/>
      </w:rPr>
      <w:fldChar w:fldCharType="begin"/>
    </w:r>
    <w:r w:rsidR="00922A61">
      <w:rPr>
        <w:rStyle w:val="a5"/>
      </w:rPr>
      <w:instrText xml:space="preserve">PAGE  </w:instrText>
    </w:r>
    <w:r>
      <w:rPr>
        <w:rStyle w:val="a5"/>
      </w:rPr>
      <w:fldChar w:fldCharType="separate"/>
    </w:r>
    <w:r w:rsidR="00922A61">
      <w:rPr>
        <w:rStyle w:val="a5"/>
        <w:noProof/>
      </w:rPr>
      <w:t>3</w:t>
    </w:r>
    <w:r>
      <w:rPr>
        <w:rStyle w:val="a5"/>
      </w:rPr>
      <w:fldChar w:fldCharType="end"/>
    </w:r>
  </w:p>
  <w:p w:rsidR="00922A61" w:rsidRDefault="00922A61">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A61" w:rsidRDefault="00FC58B2">
    <w:pPr>
      <w:pStyle w:val="a8"/>
      <w:framePr w:wrap="around" w:vAnchor="text" w:hAnchor="margin" w:xAlign="center" w:y="1"/>
      <w:rPr>
        <w:rStyle w:val="a5"/>
        <w:sz w:val="24"/>
      </w:rPr>
    </w:pPr>
    <w:r>
      <w:rPr>
        <w:rStyle w:val="a5"/>
        <w:sz w:val="24"/>
      </w:rPr>
      <w:fldChar w:fldCharType="begin"/>
    </w:r>
    <w:r w:rsidR="00922A61">
      <w:rPr>
        <w:rStyle w:val="a5"/>
        <w:sz w:val="24"/>
      </w:rPr>
      <w:instrText xml:space="preserve">PAGE  </w:instrText>
    </w:r>
    <w:r>
      <w:rPr>
        <w:rStyle w:val="a5"/>
        <w:sz w:val="24"/>
      </w:rPr>
      <w:fldChar w:fldCharType="separate"/>
    </w:r>
    <w:r w:rsidR="006542FA">
      <w:rPr>
        <w:rStyle w:val="a5"/>
        <w:noProof/>
        <w:sz w:val="24"/>
      </w:rPr>
      <w:t>1</w:t>
    </w:r>
    <w:r>
      <w:rPr>
        <w:rStyle w:val="a5"/>
        <w:sz w:val="24"/>
      </w:rPr>
      <w:fldChar w:fldCharType="end"/>
    </w:r>
  </w:p>
  <w:p w:rsidR="00922A61" w:rsidRDefault="00922A61">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F86" w:rsidRDefault="006C7F86" w:rsidP="00922A61">
      <w:r>
        <w:separator/>
      </w:r>
    </w:p>
  </w:footnote>
  <w:footnote w:type="continuationSeparator" w:id="0">
    <w:p w:rsidR="006C7F86" w:rsidRDefault="006C7F86" w:rsidP="00922A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63935795"/>
    <w:multiLevelType w:val="hybridMultilevel"/>
    <w:tmpl w:val="E306E986"/>
    <w:lvl w:ilvl="0" w:tplc="60D6490E">
      <w:start w:val="1"/>
      <w:numFmt w:val="taiwaneseCountingThousand"/>
      <w:pStyle w:val="10"/>
      <w:suff w:val="nothing"/>
      <w:lvlText w:val="%1、"/>
      <w:lvlJc w:val="left"/>
      <w:pPr>
        <w:ind w:left="906"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800BC"/>
    <w:rsid w:val="000202B1"/>
    <w:rsid w:val="0005155B"/>
    <w:rsid w:val="00085334"/>
    <w:rsid w:val="0009101D"/>
    <w:rsid w:val="000B7FDF"/>
    <w:rsid w:val="000C231C"/>
    <w:rsid w:val="00114F17"/>
    <w:rsid w:val="00133D57"/>
    <w:rsid w:val="00157A69"/>
    <w:rsid w:val="00161881"/>
    <w:rsid w:val="00171420"/>
    <w:rsid w:val="001E79B5"/>
    <w:rsid w:val="001F4C9C"/>
    <w:rsid w:val="00205FE3"/>
    <w:rsid w:val="00255763"/>
    <w:rsid w:val="00267ACB"/>
    <w:rsid w:val="00296BC1"/>
    <w:rsid w:val="0029781C"/>
    <w:rsid w:val="002E11D4"/>
    <w:rsid w:val="00304331"/>
    <w:rsid w:val="00346E96"/>
    <w:rsid w:val="0036798D"/>
    <w:rsid w:val="0039025A"/>
    <w:rsid w:val="003A3E3D"/>
    <w:rsid w:val="003B0888"/>
    <w:rsid w:val="003C4587"/>
    <w:rsid w:val="003E2B7B"/>
    <w:rsid w:val="003F783B"/>
    <w:rsid w:val="004079ED"/>
    <w:rsid w:val="00422722"/>
    <w:rsid w:val="00434454"/>
    <w:rsid w:val="004563E8"/>
    <w:rsid w:val="00486E94"/>
    <w:rsid w:val="004E413D"/>
    <w:rsid w:val="00510227"/>
    <w:rsid w:val="005506DC"/>
    <w:rsid w:val="00550FDA"/>
    <w:rsid w:val="00553DBB"/>
    <w:rsid w:val="005642BE"/>
    <w:rsid w:val="0058262C"/>
    <w:rsid w:val="005969DA"/>
    <w:rsid w:val="005D0AC8"/>
    <w:rsid w:val="005F2899"/>
    <w:rsid w:val="00616014"/>
    <w:rsid w:val="00630936"/>
    <w:rsid w:val="0063166A"/>
    <w:rsid w:val="00640170"/>
    <w:rsid w:val="006542FA"/>
    <w:rsid w:val="006830C5"/>
    <w:rsid w:val="00691135"/>
    <w:rsid w:val="00695E47"/>
    <w:rsid w:val="006B10F2"/>
    <w:rsid w:val="006C7F86"/>
    <w:rsid w:val="006F3D1D"/>
    <w:rsid w:val="006F7D46"/>
    <w:rsid w:val="00702961"/>
    <w:rsid w:val="00706C47"/>
    <w:rsid w:val="0072715E"/>
    <w:rsid w:val="00737320"/>
    <w:rsid w:val="00741315"/>
    <w:rsid w:val="0074158D"/>
    <w:rsid w:val="007811F1"/>
    <w:rsid w:val="007815FB"/>
    <w:rsid w:val="00783089"/>
    <w:rsid w:val="007A2F91"/>
    <w:rsid w:val="007C33A5"/>
    <w:rsid w:val="007C3EAB"/>
    <w:rsid w:val="008568B3"/>
    <w:rsid w:val="008614EC"/>
    <w:rsid w:val="008800BC"/>
    <w:rsid w:val="008C7835"/>
    <w:rsid w:val="008E15F4"/>
    <w:rsid w:val="008F6152"/>
    <w:rsid w:val="0091106E"/>
    <w:rsid w:val="00922A61"/>
    <w:rsid w:val="00940652"/>
    <w:rsid w:val="0096244F"/>
    <w:rsid w:val="00962659"/>
    <w:rsid w:val="00965A24"/>
    <w:rsid w:val="009668D2"/>
    <w:rsid w:val="009A0D4C"/>
    <w:rsid w:val="009A1B84"/>
    <w:rsid w:val="00A26163"/>
    <w:rsid w:val="00A4051D"/>
    <w:rsid w:val="00A61F9B"/>
    <w:rsid w:val="00A84C71"/>
    <w:rsid w:val="00AB4B7E"/>
    <w:rsid w:val="00AB6AE8"/>
    <w:rsid w:val="00AC4223"/>
    <w:rsid w:val="00AC64AD"/>
    <w:rsid w:val="00AD6B4C"/>
    <w:rsid w:val="00B12BD5"/>
    <w:rsid w:val="00B32A8E"/>
    <w:rsid w:val="00B4697F"/>
    <w:rsid w:val="00B56992"/>
    <w:rsid w:val="00B86914"/>
    <w:rsid w:val="00B872A1"/>
    <w:rsid w:val="00BA0D5C"/>
    <w:rsid w:val="00BA1318"/>
    <w:rsid w:val="00BA264A"/>
    <w:rsid w:val="00BC705E"/>
    <w:rsid w:val="00BF27A1"/>
    <w:rsid w:val="00C54053"/>
    <w:rsid w:val="00C55D07"/>
    <w:rsid w:val="00C82E6C"/>
    <w:rsid w:val="00C85C1E"/>
    <w:rsid w:val="00CA5077"/>
    <w:rsid w:val="00D3360A"/>
    <w:rsid w:val="00D47D23"/>
    <w:rsid w:val="00D52D20"/>
    <w:rsid w:val="00D63EDE"/>
    <w:rsid w:val="00D6535C"/>
    <w:rsid w:val="00D661EA"/>
    <w:rsid w:val="00D766DF"/>
    <w:rsid w:val="00DA03DA"/>
    <w:rsid w:val="00DA1C0B"/>
    <w:rsid w:val="00DD58A1"/>
    <w:rsid w:val="00DF3413"/>
    <w:rsid w:val="00E01A0E"/>
    <w:rsid w:val="00E52DFC"/>
    <w:rsid w:val="00E60C71"/>
    <w:rsid w:val="00EE15F8"/>
    <w:rsid w:val="00F00350"/>
    <w:rsid w:val="00F01E51"/>
    <w:rsid w:val="00F12AFE"/>
    <w:rsid w:val="00F3652E"/>
    <w:rsid w:val="00F37075"/>
    <w:rsid w:val="00F44DED"/>
    <w:rsid w:val="00F72C41"/>
    <w:rsid w:val="00FA2100"/>
    <w:rsid w:val="00FC58B2"/>
    <w:rsid w:val="00FE0FC6"/>
    <w:rsid w:val="00FE42E3"/>
    <w:rsid w:val="00FF4A7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454"/>
    <w:pPr>
      <w:widowControl w:val="0"/>
    </w:pPr>
    <w:rPr>
      <w:rFonts w:eastAsia="標楷體"/>
      <w:kern w:val="2"/>
      <w:sz w:val="32"/>
    </w:rPr>
  </w:style>
  <w:style w:type="paragraph" w:styleId="1">
    <w:name w:val="heading 1"/>
    <w:basedOn w:val="a"/>
    <w:qFormat/>
    <w:rsid w:val="00434454"/>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434454"/>
    <w:pPr>
      <w:numPr>
        <w:ilvl w:val="1"/>
        <w:numId w:val="1"/>
      </w:numPr>
      <w:jc w:val="both"/>
      <w:outlineLvl w:val="1"/>
    </w:pPr>
    <w:rPr>
      <w:rFonts w:ascii="標楷體" w:hAnsi="Arial"/>
      <w:bCs/>
      <w:kern w:val="0"/>
      <w:szCs w:val="48"/>
    </w:rPr>
  </w:style>
  <w:style w:type="paragraph" w:styleId="3">
    <w:name w:val="heading 3"/>
    <w:basedOn w:val="a"/>
    <w:qFormat/>
    <w:rsid w:val="00434454"/>
    <w:pPr>
      <w:numPr>
        <w:ilvl w:val="2"/>
        <w:numId w:val="1"/>
      </w:numPr>
      <w:jc w:val="both"/>
      <w:outlineLvl w:val="2"/>
    </w:pPr>
    <w:rPr>
      <w:rFonts w:ascii="標楷體" w:hAnsi="Arial"/>
      <w:bCs/>
      <w:kern w:val="0"/>
      <w:szCs w:val="36"/>
    </w:rPr>
  </w:style>
  <w:style w:type="paragraph" w:styleId="4">
    <w:name w:val="heading 4"/>
    <w:basedOn w:val="a"/>
    <w:qFormat/>
    <w:rsid w:val="00434454"/>
    <w:pPr>
      <w:numPr>
        <w:ilvl w:val="3"/>
        <w:numId w:val="1"/>
      </w:numPr>
      <w:jc w:val="both"/>
      <w:outlineLvl w:val="3"/>
    </w:pPr>
    <w:rPr>
      <w:rFonts w:ascii="標楷體" w:hAnsi="Arial"/>
      <w:szCs w:val="36"/>
    </w:rPr>
  </w:style>
  <w:style w:type="paragraph" w:styleId="5">
    <w:name w:val="heading 5"/>
    <w:basedOn w:val="a"/>
    <w:qFormat/>
    <w:rsid w:val="00434454"/>
    <w:pPr>
      <w:numPr>
        <w:ilvl w:val="4"/>
        <w:numId w:val="1"/>
      </w:numPr>
      <w:jc w:val="both"/>
      <w:outlineLvl w:val="4"/>
    </w:pPr>
    <w:rPr>
      <w:rFonts w:ascii="標楷體" w:hAnsi="Arial"/>
      <w:bCs/>
      <w:szCs w:val="36"/>
    </w:rPr>
  </w:style>
  <w:style w:type="paragraph" w:styleId="6">
    <w:name w:val="heading 6"/>
    <w:basedOn w:val="a"/>
    <w:qFormat/>
    <w:rsid w:val="00434454"/>
    <w:pPr>
      <w:numPr>
        <w:ilvl w:val="5"/>
        <w:numId w:val="1"/>
      </w:numPr>
      <w:tabs>
        <w:tab w:val="left" w:pos="2094"/>
      </w:tabs>
      <w:jc w:val="both"/>
      <w:outlineLvl w:val="5"/>
    </w:pPr>
    <w:rPr>
      <w:rFonts w:ascii="標楷體" w:hAnsi="Arial"/>
      <w:szCs w:val="36"/>
    </w:rPr>
  </w:style>
  <w:style w:type="paragraph" w:styleId="7">
    <w:name w:val="heading 7"/>
    <w:basedOn w:val="a"/>
    <w:qFormat/>
    <w:rsid w:val="00434454"/>
    <w:pPr>
      <w:numPr>
        <w:ilvl w:val="6"/>
        <w:numId w:val="1"/>
      </w:numPr>
      <w:jc w:val="both"/>
      <w:outlineLvl w:val="6"/>
    </w:pPr>
    <w:rPr>
      <w:rFonts w:ascii="標楷體" w:hAnsi="Arial"/>
      <w:bCs/>
      <w:szCs w:val="36"/>
    </w:rPr>
  </w:style>
  <w:style w:type="paragraph" w:styleId="8">
    <w:name w:val="heading 8"/>
    <w:basedOn w:val="a"/>
    <w:qFormat/>
    <w:rsid w:val="00434454"/>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434454"/>
    <w:pPr>
      <w:ind w:leftChars="400" w:left="400"/>
    </w:pPr>
  </w:style>
  <w:style w:type="paragraph" w:customStyle="1" w:styleId="20">
    <w:name w:val="段落樣式2"/>
    <w:basedOn w:val="a"/>
    <w:rsid w:val="00434454"/>
    <w:pPr>
      <w:tabs>
        <w:tab w:val="left" w:pos="567"/>
      </w:tabs>
      <w:ind w:leftChars="300" w:left="300" w:firstLineChars="200" w:firstLine="200"/>
      <w:jc w:val="both"/>
    </w:pPr>
    <w:rPr>
      <w:rFonts w:ascii="標楷體"/>
      <w:kern w:val="0"/>
    </w:rPr>
  </w:style>
  <w:style w:type="paragraph" w:customStyle="1" w:styleId="40">
    <w:name w:val="段落樣式4"/>
    <w:basedOn w:val="30"/>
    <w:rsid w:val="00434454"/>
    <w:pPr>
      <w:ind w:leftChars="500" w:left="500"/>
    </w:pPr>
  </w:style>
  <w:style w:type="paragraph" w:customStyle="1" w:styleId="50">
    <w:name w:val="段落樣式5"/>
    <w:basedOn w:val="40"/>
    <w:rsid w:val="00434454"/>
    <w:pPr>
      <w:ind w:leftChars="600" w:left="600"/>
    </w:pPr>
  </w:style>
  <w:style w:type="paragraph" w:customStyle="1" w:styleId="60">
    <w:name w:val="段落樣式6"/>
    <w:basedOn w:val="50"/>
    <w:rsid w:val="00434454"/>
    <w:pPr>
      <w:ind w:leftChars="700" w:left="700"/>
    </w:pPr>
  </w:style>
  <w:style w:type="paragraph" w:customStyle="1" w:styleId="70">
    <w:name w:val="段落樣式7"/>
    <w:basedOn w:val="60"/>
    <w:rsid w:val="00434454"/>
  </w:style>
  <w:style w:type="paragraph" w:customStyle="1" w:styleId="80">
    <w:name w:val="段落樣式8"/>
    <w:basedOn w:val="70"/>
    <w:rsid w:val="00434454"/>
    <w:pPr>
      <w:ind w:leftChars="800" w:left="800"/>
    </w:pPr>
  </w:style>
  <w:style w:type="paragraph" w:styleId="a3">
    <w:name w:val="Signature"/>
    <w:basedOn w:val="a"/>
    <w:semiHidden/>
    <w:rsid w:val="00434454"/>
    <w:pPr>
      <w:spacing w:before="720" w:after="720"/>
      <w:ind w:left="7371"/>
    </w:pPr>
    <w:rPr>
      <w:rFonts w:ascii="標楷體"/>
      <w:b/>
      <w:snapToGrid w:val="0"/>
      <w:spacing w:val="10"/>
      <w:sz w:val="36"/>
    </w:rPr>
  </w:style>
  <w:style w:type="paragraph" w:styleId="a4">
    <w:name w:val="endnote text"/>
    <w:basedOn w:val="a"/>
    <w:semiHidden/>
    <w:rsid w:val="00434454"/>
    <w:pPr>
      <w:spacing w:before="240"/>
      <w:ind w:left="1021" w:hanging="1021"/>
      <w:jc w:val="both"/>
    </w:pPr>
    <w:rPr>
      <w:rFonts w:ascii="標楷體"/>
      <w:snapToGrid w:val="0"/>
      <w:spacing w:val="10"/>
    </w:rPr>
  </w:style>
  <w:style w:type="character" w:styleId="a5">
    <w:name w:val="page number"/>
    <w:basedOn w:val="a0"/>
    <w:semiHidden/>
    <w:rsid w:val="00434454"/>
    <w:rPr>
      <w:rFonts w:ascii="標楷體" w:eastAsia="標楷體"/>
      <w:sz w:val="20"/>
    </w:rPr>
  </w:style>
  <w:style w:type="paragraph" w:styleId="11">
    <w:name w:val="toc 1"/>
    <w:basedOn w:val="a"/>
    <w:next w:val="a"/>
    <w:semiHidden/>
    <w:rsid w:val="00434454"/>
    <w:pPr>
      <w:ind w:left="200" w:hangingChars="200" w:hanging="200"/>
      <w:jc w:val="both"/>
    </w:pPr>
    <w:rPr>
      <w:rFonts w:ascii="標楷體"/>
    </w:rPr>
  </w:style>
  <w:style w:type="paragraph" w:styleId="21">
    <w:name w:val="toc 2"/>
    <w:basedOn w:val="a"/>
    <w:next w:val="a"/>
    <w:autoRedefine/>
    <w:semiHidden/>
    <w:rsid w:val="00434454"/>
    <w:pPr>
      <w:ind w:leftChars="100" w:left="300" w:hangingChars="200" w:hanging="200"/>
      <w:jc w:val="both"/>
    </w:pPr>
    <w:rPr>
      <w:rFonts w:ascii="標楷體"/>
    </w:rPr>
  </w:style>
  <w:style w:type="paragraph" w:styleId="31">
    <w:name w:val="toc 3"/>
    <w:basedOn w:val="a"/>
    <w:next w:val="a"/>
    <w:semiHidden/>
    <w:rsid w:val="00434454"/>
    <w:pPr>
      <w:ind w:leftChars="200" w:left="400" w:hangingChars="200" w:hanging="200"/>
      <w:jc w:val="both"/>
    </w:pPr>
    <w:rPr>
      <w:rFonts w:ascii="標楷體"/>
      <w:noProof/>
    </w:rPr>
  </w:style>
  <w:style w:type="paragraph" w:styleId="41">
    <w:name w:val="toc 4"/>
    <w:basedOn w:val="a"/>
    <w:next w:val="a"/>
    <w:semiHidden/>
    <w:rsid w:val="00434454"/>
    <w:pPr>
      <w:kinsoku w:val="0"/>
      <w:ind w:leftChars="300" w:left="500" w:hangingChars="200" w:hanging="200"/>
      <w:jc w:val="both"/>
    </w:pPr>
    <w:rPr>
      <w:rFonts w:ascii="標楷體"/>
    </w:rPr>
  </w:style>
  <w:style w:type="paragraph" w:styleId="51">
    <w:name w:val="toc 5"/>
    <w:basedOn w:val="a"/>
    <w:next w:val="a"/>
    <w:autoRedefine/>
    <w:semiHidden/>
    <w:rsid w:val="00434454"/>
    <w:pPr>
      <w:kinsoku w:val="0"/>
      <w:ind w:leftChars="400" w:left="600" w:hangingChars="200" w:hanging="200"/>
      <w:jc w:val="both"/>
    </w:pPr>
    <w:rPr>
      <w:rFonts w:ascii="標楷體"/>
    </w:rPr>
  </w:style>
  <w:style w:type="paragraph" w:styleId="61">
    <w:name w:val="toc 6"/>
    <w:basedOn w:val="a"/>
    <w:next w:val="a"/>
    <w:autoRedefine/>
    <w:semiHidden/>
    <w:rsid w:val="00434454"/>
    <w:pPr>
      <w:ind w:leftChars="500" w:left="700" w:hangingChars="200" w:hanging="200"/>
    </w:pPr>
    <w:rPr>
      <w:rFonts w:ascii="標楷體"/>
    </w:rPr>
  </w:style>
  <w:style w:type="paragraph" w:styleId="71">
    <w:name w:val="toc 7"/>
    <w:basedOn w:val="a"/>
    <w:next w:val="a"/>
    <w:autoRedefine/>
    <w:semiHidden/>
    <w:rsid w:val="00434454"/>
    <w:pPr>
      <w:ind w:leftChars="600" w:left="700" w:hangingChars="100" w:hanging="100"/>
    </w:pPr>
    <w:rPr>
      <w:rFonts w:ascii="標楷體"/>
    </w:rPr>
  </w:style>
  <w:style w:type="paragraph" w:styleId="81">
    <w:name w:val="toc 8"/>
    <w:basedOn w:val="a"/>
    <w:next w:val="a"/>
    <w:autoRedefine/>
    <w:semiHidden/>
    <w:rsid w:val="00434454"/>
    <w:pPr>
      <w:ind w:leftChars="700" w:left="2792" w:hangingChars="100" w:hanging="349"/>
    </w:pPr>
    <w:rPr>
      <w:rFonts w:ascii="標楷體"/>
    </w:rPr>
  </w:style>
  <w:style w:type="paragraph" w:styleId="9">
    <w:name w:val="toc 9"/>
    <w:basedOn w:val="a"/>
    <w:next w:val="a"/>
    <w:autoRedefine/>
    <w:semiHidden/>
    <w:rsid w:val="00434454"/>
    <w:pPr>
      <w:ind w:leftChars="1600" w:left="3840"/>
    </w:pPr>
  </w:style>
  <w:style w:type="character" w:styleId="a6">
    <w:name w:val="Hyperlink"/>
    <w:basedOn w:val="a0"/>
    <w:semiHidden/>
    <w:rsid w:val="00434454"/>
    <w:rPr>
      <w:color w:val="0000FF"/>
      <w:u w:val="single"/>
    </w:rPr>
  </w:style>
  <w:style w:type="paragraph" w:customStyle="1" w:styleId="12">
    <w:name w:val="段落樣式1"/>
    <w:basedOn w:val="a"/>
    <w:rsid w:val="00434454"/>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434454"/>
    <w:pPr>
      <w:ind w:leftChars="200" w:left="200" w:firstLineChars="0" w:firstLine="0"/>
    </w:pPr>
  </w:style>
  <w:style w:type="paragraph" w:styleId="a7">
    <w:name w:val="header"/>
    <w:basedOn w:val="a"/>
    <w:semiHidden/>
    <w:rsid w:val="00434454"/>
    <w:pPr>
      <w:tabs>
        <w:tab w:val="center" w:pos="4153"/>
        <w:tab w:val="right" w:pos="8306"/>
      </w:tabs>
      <w:snapToGrid w:val="0"/>
    </w:pPr>
    <w:rPr>
      <w:sz w:val="20"/>
    </w:rPr>
  </w:style>
  <w:style w:type="paragraph" w:styleId="a8">
    <w:name w:val="footer"/>
    <w:basedOn w:val="a"/>
    <w:semiHidden/>
    <w:rsid w:val="00434454"/>
    <w:pPr>
      <w:tabs>
        <w:tab w:val="center" w:pos="4153"/>
        <w:tab w:val="right" w:pos="8306"/>
      </w:tabs>
      <w:snapToGrid w:val="0"/>
    </w:pPr>
    <w:rPr>
      <w:sz w:val="20"/>
    </w:rPr>
  </w:style>
  <w:style w:type="paragraph" w:customStyle="1" w:styleId="a9">
    <w:name w:val="簽名日期"/>
    <w:basedOn w:val="a"/>
    <w:rsid w:val="00434454"/>
    <w:pPr>
      <w:kinsoku w:val="0"/>
      <w:jc w:val="distribute"/>
    </w:pPr>
    <w:rPr>
      <w:kern w:val="0"/>
    </w:rPr>
  </w:style>
  <w:style w:type="paragraph" w:styleId="aa">
    <w:name w:val="footnote text"/>
    <w:basedOn w:val="a"/>
    <w:link w:val="ab"/>
    <w:uiPriority w:val="99"/>
    <w:semiHidden/>
    <w:unhideWhenUsed/>
    <w:rsid w:val="00157A69"/>
    <w:pPr>
      <w:snapToGrid w:val="0"/>
    </w:pPr>
    <w:rPr>
      <w:sz w:val="20"/>
    </w:rPr>
  </w:style>
  <w:style w:type="character" w:customStyle="1" w:styleId="ab">
    <w:name w:val="註腳文字 字元"/>
    <w:basedOn w:val="a0"/>
    <w:link w:val="aa"/>
    <w:uiPriority w:val="99"/>
    <w:semiHidden/>
    <w:rsid w:val="00157A69"/>
    <w:rPr>
      <w:rFonts w:eastAsia="標楷體"/>
      <w:kern w:val="2"/>
    </w:rPr>
  </w:style>
  <w:style w:type="character" w:styleId="ac">
    <w:name w:val="footnote reference"/>
    <w:basedOn w:val="a0"/>
    <w:uiPriority w:val="99"/>
    <w:semiHidden/>
    <w:unhideWhenUsed/>
    <w:rsid w:val="00157A69"/>
    <w:rPr>
      <w:vertAlign w:val="superscript"/>
    </w:rPr>
  </w:style>
  <w:style w:type="paragraph" w:customStyle="1" w:styleId="10">
    <w:name w:val="樣式1"/>
    <w:basedOn w:val="ad"/>
    <w:link w:val="13"/>
    <w:uiPriority w:val="99"/>
    <w:qFormat/>
    <w:rsid w:val="00157A69"/>
    <w:pPr>
      <w:numPr>
        <w:numId w:val="3"/>
      </w:numPr>
      <w:spacing w:line="520" w:lineRule="exact"/>
      <w:ind w:leftChars="0" w:left="0"/>
      <w:jc w:val="both"/>
    </w:pPr>
    <w:rPr>
      <w:rFonts w:ascii="標楷體" w:hAnsi="標楷體"/>
      <w:szCs w:val="22"/>
    </w:rPr>
  </w:style>
  <w:style w:type="character" w:customStyle="1" w:styleId="13">
    <w:name w:val="樣式1 字元"/>
    <w:link w:val="10"/>
    <w:uiPriority w:val="99"/>
    <w:rsid w:val="00157A69"/>
    <w:rPr>
      <w:rFonts w:ascii="標楷體" w:eastAsia="標楷體" w:hAnsi="標楷體"/>
      <w:kern w:val="2"/>
      <w:sz w:val="32"/>
      <w:szCs w:val="22"/>
    </w:rPr>
  </w:style>
  <w:style w:type="paragraph" w:styleId="ad">
    <w:name w:val="List Paragraph"/>
    <w:basedOn w:val="a"/>
    <w:uiPriority w:val="34"/>
    <w:qFormat/>
    <w:rsid w:val="00157A69"/>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iao\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2</TotalTime>
  <Pages>5</Pages>
  <Words>2833</Words>
  <Characters>121</Characters>
  <Application>Microsoft Office Word</Application>
  <DocSecurity>0</DocSecurity>
  <Lines>1</Lines>
  <Paragraphs>5</Paragraphs>
  <ScaleCrop>false</ScaleCrop>
  <Company>cy</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5</cp:revision>
  <cp:lastPrinted>2012-07-05T05:59:00Z</cp:lastPrinted>
  <dcterms:created xsi:type="dcterms:W3CDTF">2012-12-20T05:40:00Z</dcterms:created>
  <dcterms:modified xsi:type="dcterms:W3CDTF">2012-12-24T03:03:00Z</dcterms:modified>
</cp:coreProperties>
</file>